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9E" w:rsidRPr="00B5630F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8"/>
          <w:szCs w:val="28"/>
          <w:lang w:val="sr-Cyrl-CS"/>
        </w:rPr>
      </w:pPr>
      <w:r w:rsidRPr="00B5630F">
        <w:rPr>
          <w:rFonts w:ascii="TimesNewRoman" w:hAnsi="TimesNewRoman" w:cs="TimesNewRoman"/>
          <w:noProof/>
          <w:color w:val="800000"/>
          <w:sz w:val="28"/>
          <w:szCs w:val="28"/>
          <w:lang w:val="sr-Cyrl-CS"/>
        </w:rPr>
        <w:t>Нека питања и одговори из трофазних система:</w:t>
      </w:r>
    </w:p>
    <w:p w:rsid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</w:p>
    <w:p w:rsid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  <w:r w:rsidRPr="00E2569E">
        <w:rPr>
          <w:rFonts w:ascii="TimesNewRoman" w:hAnsi="TimesNewRoman" w:cs="TimesNewRoman"/>
          <w:color w:val="800000"/>
          <w:sz w:val="24"/>
          <w:szCs w:val="24"/>
          <w:lang/>
        </w:rPr>
        <w:t>Симетрични трофазни елементи</w:t>
      </w:r>
    </w:p>
    <w:p w:rsidR="008D538F" w:rsidRPr="00E2569E" w:rsidRDefault="008D538F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Трофазни генератор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 xml:space="preserve">симетричан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ако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његови напони чине симетричан систем</w:t>
      </w: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напона и ако су импедансе једнаке</w:t>
      </w: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Трофазни потрошач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 xml:space="preserve">симетричан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ако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су његове импедансе једнаке</w:t>
      </w:r>
    </w:p>
    <w:p w:rsidR="008E48EC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Трофазни вод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 xml:space="preserve">симетричан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ако суимпедансе фазних проводника једнаке</w:t>
      </w:r>
    </w:p>
    <w:p w:rsid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</w:p>
    <w:p w:rsidR="000D3FE0" w:rsidRDefault="000D3FE0" w:rsidP="00E2569E">
      <w:pPr>
        <w:autoSpaceDE w:val="0"/>
        <w:autoSpaceDN w:val="0"/>
        <w:adjustRightInd w:val="0"/>
        <w:spacing w:after="0" w:line="240" w:lineRule="auto"/>
        <w:rPr>
          <w:rFonts w:cs="TimesNewRoman"/>
          <w:color w:val="00009A"/>
          <w:sz w:val="24"/>
          <w:szCs w:val="24"/>
        </w:rPr>
      </w:pP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Слике које прате ове одговоре пронаћи у Књизи.</w:t>
      </w:r>
    </w:p>
    <w:p w:rsidR="008D538F" w:rsidRPr="008D538F" w:rsidRDefault="008D538F" w:rsidP="00E2569E">
      <w:pPr>
        <w:autoSpaceDE w:val="0"/>
        <w:autoSpaceDN w:val="0"/>
        <w:adjustRightInd w:val="0"/>
        <w:spacing w:after="0" w:line="240" w:lineRule="auto"/>
        <w:rPr>
          <w:rFonts w:cs="TimesNewRoman"/>
          <w:color w:val="00009A"/>
          <w:sz w:val="24"/>
          <w:szCs w:val="24"/>
        </w:rPr>
      </w:pPr>
    </w:p>
    <w:p w:rsid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  <w:r w:rsidRPr="00E2569E">
        <w:rPr>
          <w:rFonts w:ascii="TimesNewRoman" w:hAnsi="TimesNewRoman" w:cs="TimesNewRoman"/>
          <w:color w:val="800000"/>
          <w:sz w:val="24"/>
          <w:szCs w:val="24"/>
          <w:lang/>
        </w:rPr>
        <w:t>Уравнотежено трофазно коло</w:t>
      </w: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Трофазно коло је </w:t>
      </w:r>
      <w:r w:rsidRPr="00E2569E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 xml:space="preserve">уравнотежено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ако су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сви трофазни системи напона и струја</w:t>
      </w: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</w:pP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кола </w:t>
      </w:r>
      <w:r w:rsidRPr="00E2569E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>симетрични</w:t>
      </w:r>
      <w:r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 </w:t>
      </w:r>
    </w:p>
    <w:p w:rsidR="00E2569E" w:rsidRP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Уравнотежено коло се образујеповезивањем </w:t>
      </w:r>
      <w:r w:rsidRPr="00E2569E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симетричних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трофазнихелемената</w:t>
      </w:r>
    </w:p>
    <w:p w:rsidR="00E2569E" w:rsidRDefault="00E2569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00E2569E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 xml:space="preserve">Уравнотежена кола су </w:t>
      </w:r>
      <w:r w:rsidRPr="00E2569E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циљ </w:t>
      </w:r>
      <w:r w:rsidRPr="00E2569E">
        <w:rPr>
          <w:rFonts w:ascii="TimesNewRoman" w:hAnsi="TimesNewRoman" w:cs="TimesNewRoman"/>
          <w:color w:val="00009A"/>
          <w:sz w:val="24"/>
          <w:szCs w:val="24"/>
          <w:lang/>
        </w:rPr>
        <w:t>у пракси</w:t>
      </w:r>
    </w:p>
    <w:p w:rsidR="00822C7E" w:rsidRPr="00822C7E" w:rsidRDefault="00822C7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</w:p>
    <w:p w:rsidR="0070753C" w:rsidRDefault="00822C7E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Слике које прате ове одговоре пронаћи у Књизи</w:t>
      </w:r>
    </w:p>
    <w:p w:rsidR="00822C7E" w:rsidRDefault="00822C7E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</w:p>
    <w:p w:rsidR="0070753C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  <w:r w:rsidRPr="0070753C">
        <w:rPr>
          <w:rFonts w:ascii="TimesNewRoman" w:hAnsi="TimesNewRoman" w:cs="TimesNewRoman"/>
          <w:color w:val="800000"/>
          <w:sz w:val="24"/>
          <w:szCs w:val="24"/>
          <w:lang/>
        </w:rPr>
        <w:t>Неуравнотежена трофазна кола</w:t>
      </w:r>
    </w:p>
    <w:p w:rsidR="0070753C" w:rsidRPr="0070753C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/>
        </w:rPr>
      </w:pPr>
    </w:p>
    <w:p w:rsidR="0070753C" w:rsidRPr="0070753C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Повезивањем несиметричних трофазних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 xml:space="preserve">елемената образују се </w:t>
      </w:r>
      <w:r w:rsidRPr="0070753C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>неуравнотежена</w:t>
      </w:r>
    </w:p>
    <w:p w:rsidR="0070753C" w:rsidRPr="0070753C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трофазна кола</w:t>
      </w:r>
    </w:p>
    <w:p w:rsidR="0070753C" w:rsidRPr="0070753C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 xml:space="preserve">Несиметрија настаје услед </w:t>
      </w:r>
      <w:r w:rsidRPr="0070753C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кварова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или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="00B5630F">
        <w:rPr>
          <w:rFonts w:ascii="TimesNewRoman" w:hAnsi="TimesNewRoman" w:cs="TimesNewRoman"/>
          <w:color w:val="00009A"/>
          <w:sz w:val="24"/>
          <w:szCs w:val="24"/>
          <w:lang w:val="sr-Cyrl-BA"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укључивања монофазних уређаја</w:t>
      </w:r>
    </w:p>
    <w:p w:rsidR="0070753C" w:rsidRPr="00B5630F" w:rsidRDefault="0070753C" w:rsidP="0070753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0070753C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У пракси</w:t>
      </w:r>
      <w:r w:rsidRPr="0070753C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статистички се добијају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70753C">
        <w:rPr>
          <w:rFonts w:ascii="TimesNewRoman" w:hAnsi="TimesNewRoman" w:cs="TimesNewRoman"/>
          <w:color w:val="00009A"/>
          <w:sz w:val="24"/>
          <w:szCs w:val="24"/>
          <w:lang/>
        </w:rPr>
        <w:t>приближно уравнотежена кола</w:t>
      </w:r>
      <w:r w:rsidR="00B5630F">
        <w:rPr>
          <w:rFonts w:ascii="TimesNewRoman" w:hAnsi="TimesNewRoman" w:cs="TimesNewRoman"/>
          <w:color w:val="00009A"/>
          <w:sz w:val="24"/>
          <w:szCs w:val="24"/>
          <w:lang w:val="sr-Cyrl-BA"/>
        </w:rPr>
        <w:t>, што је и задатак пројектаната електричних инсталација на свим нивоима потрошње.</w:t>
      </w:r>
    </w:p>
    <w:p w:rsidR="00154341" w:rsidRDefault="00154341" w:rsidP="00E2569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</w:p>
    <w:p w:rsidR="00154341" w:rsidRPr="00154341" w:rsidRDefault="00154341" w:rsidP="0015434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154341">
        <w:rPr>
          <w:rFonts w:ascii="Times New Roman" w:hAnsi="Times New Roman" w:cs="Times New Roman"/>
          <w:color w:val="800000"/>
          <w:sz w:val="24"/>
          <w:szCs w:val="24"/>
          <w:lang/>
        </w:rPr>
        <w:t xml:space="preserve">• </w:t>
      </w:r>
      <w:r w:rsidRPr="00154341">
        <w:rPr>
          <w:rFonts w:ascii="TimesNewRoman,BoldItalic" w:hAnsi="TimesNewRoman,BoldItalic" w:cs="TimesNewRoman,BoldItalic"/>
          <w:b/>
          <w:bCs/>
          <w:i/>
          <w:iCs/>
          <w:color w:val="800000"/>
          <w:sz w:val="24"/>
          <w:szCs w:val="24"/>
          <w:lang/>
        </w:rPr>
        <w:t xml:space="preserve">Нуловање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је спајање неутралног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 xml:space="preserve">проводника и кућишта </w:t>
      </w: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>(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оклопа</w:t>
      </w: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)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уређаја</w:t>
      </w:r>
    </w:p>
    <w:p w:rsidR="00154341" w:rsidRPr="00154341" w:rsidRDefault="00154341" w:rsidP="0015434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Ефективна вредност фазног напона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 xml:space="preserve">електродистрибутивне мреже је </w:t>
      </w:r>
      <w:r w:rsidRPr="00154341">
        <w:rPr>
          <w:rFonts w:ascii="Times New Roman" w:hAnsi="Times New Roman" w:cs="Times New Roman"/>
          <w:b/>
          <w:bCs/>
          <w:color w:val="800000"/>
          <w:sz w:val="24"/>
          <w:szCs w:val="24"/>
          <w:lang/>
        </w:rPr>
        <w:t>230 V</w:t>
      </w:r>
    </w:p>
    <w:p w:rsidR="00154341" w:rsidRPr="00154341" w:rsidRDefault="00154341" w:rsidP="0015434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Ефективна вредност линијског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>(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>међуфазног</w:t>
      </w:r>
      <w:r w:rsidRPr="00154341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) </w:t>
      </w:r>
      <w:r w:rsidRPr="00154341">
        <w:rPr>
          <w:rFonts w:ascii="TimesNewRoman" w:hAnsi="TimesNewRoman" w:cs="TimesNewRoman"/>
          <w:color w:val="00009A"/>
          <w:sz w:val="24"/>
          <w:szCs w:val="24"/>
          <w:lang/>
        </w:rPr>
        <w:t xml:space="preserve">напона је </w:t>
      </w:r>
      <w:r w:rsidRPr="00154341">
        <w:rPr>
          <w:rFonts w:ascii="Times New Roman" w:hAnsi="Times New Roman" w:cs="Times New Roman"/>
          <w:b/>
          <w:bCs/>
          <w:color w:val="800000"/>
          <w:sz w:val="24"/>
          <w:szCs w:val="24"/>
          <w:lang/>
        </w:rPr>
        <w:t>400 V</w:t>
      </w:r>
    </w:p>
    <w:p w:rsidR="00154341" w:rsidRDefault="00154341" w:rsidP="001543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  <w:lang/>
        </w:rPr>
      </w:pPr>
    </w:p>
    <w:p w:rsidR="00154341" w:rsidRDefault="0070753C" w:rsidP="001543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/>
        </w:rPr>
        <w:t xml:space="preserve">                  </w:t>
      </w:r>
      <w:r w:rsidR="00154341" w:rsidRPr="00154341">
        <w:rPr>
          <w:rFonts w:ascii="Times New Roman" w:hAnsi="Times New Roman" w:cs="Times New Roman"/>
          <w:i/>
          <w:iCs/>
          <w:color w:val="000000"/>
          <w:sz w:val="24"/>
          <w:szCs w:val="24"/>
          <w:lang/>
        </w:rPr>
        <w:t>U</w:t>
      </w:r>
      <w:r w:rsidR="00154341" w:rsidRPr="00154341"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linijski 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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</w:t>
      </w:r>
      <w:r w:rsidR="00154341" w:rsidRPr="00154341">
        <w:rPr>
          <w:rFonts w:ascii="Symbol" w:hAnsi="Symbol" w:cs="Symbol"/>
          <w:color w:val="000000"/>
          <w:position w:val="-4"/>
          <w:sz w:val="24"/>
          <w:szCs w:val="24"/>
          <w:lang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4.25pt" o:ole="">
            <v:imagedata r:id="rId4" o:title=""/>
          </v:shape>
          <o:OLEObject Type="Embed" ProgID="Equation.DSMT4" ShapeID="_x0000_i1025" DrawAspect="Content" ObjectID="_1665122033" r:id="rId5"/>
        </w:object>
      </w:r>
      <w:r w:rsidR="00154341">
        <w:rPr>
          <w:rFonts w:ascii="Symbol" w:hAnsi="Symbol" w:cs="Symbol"/>
          <w:color w:val="000000"/>
          <w:sz w:val="24"/>
          <w:szCs w:val="24"/>
          <w:lang/>
        </w:rPr>
        <w:t></w:t>
      </w:r>
      <w:r w:rsidR="00154341" w:rsidRPr="00154341">
        <w:rPr>
          <w:rFonts w:ascii="Times New Roman" w:hAnsi="Times New Roman" w:cs="Times New Roman"/>
          <w:color w:val="000000"/>
          <w:position w:val="-8"/>
          <w:sz w:val="24"/>
          <w:szCs w:val="24"/>
          <w:lang/>
        </w:rPr>
        <w:object w:dxaOrig="360" w:dyaOrig="360">
          <v:shape id="_x0000_i1026" type="#_x0000_t75" style="width:18pt;height:18pt" o:ole="">
            <v:imagedata r:id="rId6" o:title=""/>
          </v:shape>
          <o:OLEObject Type="Embed" ProgID="Equation.DSMT4" ShapeID="_x0000_i1026" DrawAspect="Content" ObjectID="_1665122034" r:id="rId7"/>
        </w:object>
      </w:r>
      <w:r w:rsidR="00154341" w:rsidRPr="00154341">
        <w:rPr>
          <w:rFonts w:ascii="Times New Roman" w:hAnsi="Times New Roman" w:cs="Times New Roman"/>
          <w:i/>
          <w:iCs/>
          <w:color w:val="000000"/>
          <w:sz w:val="24"/>
          <w:szCs w:val="24"/>
          <w:lang/>
        </w:rPr>
        <w:t>U</w:t>
      </w:r>
      <w:r w:rsidR="00154341" w:rsidRPr="00154341"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fazni 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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</w:t>
      </w:r>
      <w:r w:rsidR="00154341" w:rsidRPr="00154341">
        <w:rPr>
          <w:rFonts w:ascii="Times New Roman" w:hAnsi="Times New Roman" w:cs="Times New Roman"/>
          <w:color w:val="000000"/>
          <w:position w:val="-8"/>
          <w:sz w:val="24"/>
          <w:szCs w:val="24"/>
          <w:lang/>
        </w:rPr>
        <w:object w:dxaOrig="360" w:dyaOrig="360">
          <v:shape id="_x0000_i1027" type="#_x0000_t75" style="width:18pt;height:18pt" o:ole="">
            <v:imagedata r:id="rId8" o:title=""/>
          </v:shape>
          <o:OLEObject Type="Embed" ProgID="Equation.DSMT4" ShapeID="_x0000_i1027" DrawAspect="Content" ObjectID="_1665122035" r:id="rId9"/>
        </w:objec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</w:t>
      </w:r>
      <w:r w:rsidR="00154341" w:rsidRPr="00154341"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230 V 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</w:t>
      </w:r>
      <w:r w:rsidR="00154341" w:rsidRPr="00154341">
        <w:rPr>
          <w:rFonts w:ascii="Symbol" w:hAnsi="Symbol" w:cs="Symbol"/>
          <w:color w:val="000000"/>
          <w:sz w:val="24"/>
          <w:szCs w:val="24"/>
          <w:lang/>
        </w:rPr>
        <w:t></w:t>
      </w:r>
      <w:r w:rsidR="00154341" w:rsidRPr="00154341">
        <w:rPr>
          <w:rFonts w:ascii="Times New Roman" w:hAnsi="Times New Roman" w:cs="Times New Roman"/>
          <w:color w:val="000000"/>
          <w:sz w:val="24"/>
          <w:szCs w:val="24"/>
          <w:lang/>
        </w:rPr>
        <w:t>400 V</w:t>
      </w:r>
    </w:p>
    <w:p w:rsidR="00B5630F" w:rsidRDefault="00B5630F" w:rsidP="001543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/>
        </w:rPr>
      </w:pPr>
    </w:p>
    <w:p w:rsid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  <w:r>
        <w:rPr>
          <w:rFonts w:ascii="TimesNewRoman" w:hAnsi="TimesNewRoman" w:cs="TimesNewRoman"/>
          <w:color w:val="800000"/>
          <w:sz w:val="24"/>
          <w:szCs w:val="24"/>
          <w:lang w:val="sr-Cyrl-BA"/>
        </w:rPr>
        <w:t>З</w:t>
      </w:r>
      <w:r w:rsidRPr="00B5630F">
        <w:rPr>
          <w:rFonts w:ascii="TimesNewRoman" w:hAnsi="TimesNewRoman" w:cs="TimesNewRoman"/>
          <w:color w:val="800000"/>
          <w:sz w:val="24"/>
          <w:szCs w:val="24"/>
          <w:lang/>
        </w:rPr>
        <w:t>начај и предности</w:t>
      </w:r>
      <w:r>
        <w:rPr>
          <w:rFonts w:ascii="TimesNewRoman" w:hAnsi="TimesNewRoman" w:cs="TimesNewRoman"/>
          <w:color w:val="800000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800000"/>
          <w:sz w:val="24"/>
          <w:szCs w:val="24"/>
          <w:lang/>
        </w:rPr>
        <w:t xml:space="preserve">уравнотежених трофазних </w:t>
      </w:r>
      <w:r>
        <w:rPr>
          <w:rFonts w:ascii="TimesNewRoman" w:hAnsi="TimesNewRoman" w:cs="TimesNewRoman"/>
          <w:color w:val="800000"/>
          <w:sz w:val="24"/>
          <w:szCs w:val="24"/>
          <w:lang w:val="sr-Cyrl-BA"/>
        </w:rPr>
        <w:t>система</w:t>
      </w: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800000"/>
          <w:sz w:val="24"/>
          <w:szCs w:val="24"/>
          <w:lang w:val="sr-Cyrl-BA"/>
        </w:rPr>
      </w:pP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Тренутна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снага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којом се напаја симетричан трофазни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потрошач је временски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>константна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.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Ово је предност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код ротационих машина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: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момент силе на осовину</w:t>
      </w: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симетричног трофазног генератора је константан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тако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да су много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  <w:lang/>
        </w:rPr>
        <w:t xml:space="preserve">мањи губици </w:t>
      </w:r>
      <w:r w:rsidRPr="00B5630F">
        <w:rPr>
          <w:rFonts w:ascii="TimesNewRoman" w:hAnsi="TimesNewRoman" w:cs="TimesNewRoman"/>
          <w:color w:val="800000"/>
          <w:sz w:val="24"/>
          <w:szCs w:val="24"/>
          <w:lang/>
        </w:rPr>
        <w:t xml:space="preserve">енергије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и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  <w:lang/>
        </w:rPr>
        <w:t>мање вибрације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>.</w:t>
      </w: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Са трофазним напоном се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једноставно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ствара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обртно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 магнетско поље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;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сходно томе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асинхрони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трофазни мотори су јефтинији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покрећу се и раде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  <w:lang/>
        </w:rPr>
        <w:t>боље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него једнофазни мотори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а и њихов момент силе на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осовину је константан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>.</w:t>
      </w: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•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Тежина и величина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проводника у трофазном систему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је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  <w:lang/>
        </w:rPr>
        <w:t xml:space="preserve">мања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него она коју захтева једнофазни систем који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испоручује исту електричну снагу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>.</w:t>
      </w:r>
    </w:p>
    <w:p w:rsid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9A"/>
          <w:sz w:val="24"/>
          <w:szCs w:val="24"/>
          <w:lang/>
        </w:rPr>
      </w:pP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 w:val="sr-Cyrl-BA"/>
        </w:rPr>
      </w:pP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>•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У уравнотеженом трофазном колу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што подразумева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симетричне трофазне потрошаче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,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довољне су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>три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,Bold" w:hAnsi="TimesNewRoman,Bold" w:cs="TimesNewRoman,Bold"/>
          <w:b/>
          <w:bCs/>
          <w:color w:val="00009A"/>
          <w:sz w:val="24"/>
          <w:szCs w:val="24"/>
          <w:lang/>
        </w:rPr>
        <w:t xml:space="preserve">жице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уместо шест за једнофазно коло</w:t>
      </w:r>
      <w:r w:rsidRPr="00B5630F">
        <w:rPr>
          <w:rFonts w:ascii="Times New Roman" w:hAnsi="Times New Roman" w:cs="Times New Roman"/>
          <w:color w:val="00009A"/>
          <w:sz w:val="24"/>
          <w:szCs w:val="24"/>
          <w:lang/>
        </w:rPr>
        <w:t xml:space="preserve">; 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>след</w:t>
      </w:r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и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 да су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трофазни енергетски водови </w:t>
      </w:r>
      <w:r w:rsidRPr="00B5630F">
        <w:rPr>
          <w:rFonts w:ascii="TimesNewRoman,Bold" w:hAnsi="TimesNewRoman,Bold" w:cs="TimesNewRoman,Bold"/>
          <w:b/>
          <w:bCs/>
          <w:color w:val="800000"/>
          <w:sz w:val="24"/>
          <w:szCs w:val="24"/>
          <w:lang/>
        </w:rPr>
        <w:t xml:space="preserve">исплативији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>за пренос</w:t>
      </w:r>
      <w:r>
        <w:rPr>
          <w:rFonts w:ascii="TimesNewRoman" w:hAnsi="TimesNewRoman" w:cs="TimesNewRoman"/>
          <w:color w:val="00009A"/>
          <w:sz w:val="24"/>
          <w:szCs w:val="24"/>
          <w:lang/>
        </w:rPr>
        <w:t xml:space="preserve"> </w:t>
      </w:r>
      <w:r w:rsidRPr="00B5630F">
        <w:rPr>
          <w:rFonts w:ascii="TimesNewRoman" w:hAnsi="TimesNewRoman" w:cs="TimesNewRoman"/>
          <w:color w:val="00009A"/>
          <w:sz w:val="24"/>
          <w:szCs w:val="24"/>
          <w:lang/>
        </w:rPr>
        <w:t xml:space="preserve">електричне енергије од </w:t>
      </w:r>
      <w:proofErr w:type="spellStart"/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монофазних</w:t>
      </w:r>
      <w:proofErr w:type="spellEnd"/>
      <w:r>
        <w:rPr>
          <w:rFonts w:ascii="TimesNewRoman" w:hAnsi="TimesNewRoman" w:cs="TimesNewRoman"/>
          <w:color w:val="00009A"/>
          <w:sz w:val="24"/>
          <w:szCs w:val="24"/>
          <w:lang w:val="sr-Cyrl-BA"/>
        </w:rPr>
        <w:t>.</w:t>
      </w:r>
    </w:p>
    <w:p w:rsidR="00B5630F" w:rsidRPr="00B5630F" w:rsidRDefault="00B5630F" w:rsidP="00B5630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9A"/>
          <w:sz w:val="24"/>
          <w:szCs w:val="24"/>
          <w:lang/>
        </w:rPr>
      </w:pPr>
      <w:bookmarkStart w:id="0" w:name="_GoBack"/>
      <w:bookmarkEnd w:id="0"/>
    </w:p>
    <w:sectPr w:rsidR="00B5630F" w:rsidRPr="00B5630F" w:rsidSect="00273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569E"/>
    <w:rsid w:val="000D3FE0"/>
    <w:rsid w:val="00154341"/>
    <w:rsid w:val="00273B51"/>
    <w:rsid w:val="0070753C"/>
    <w:rsid w:val="00815DC4"/>
    <w:rsid w:val="00822C7E"/>
    <w:rsid w:val="008A1BC2"/>
    <w:rsid w:val="008D538F"/>
    <w:rsid w:val="008E48EC"/>
    <w:rsid w:val="00B5630F"/>
    <w:rsid w:val="00E25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B5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Fujitsu</cp:lastModifiedBy>
  <cp:revision>6</cp:revision>
  <dcterms:created xsi:type="dcterms:W3CDTF">2020-10-24T07:49:00Z</dcterms:created>
  <dcterms:modified xsi:type="dcterms:W3CDTF">2020-10-25T08:07:00Z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